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DF" w:rsidRPr="00E93B62" w:rsidRDefault="00E52BDF" w:rsidP="00E52BDF">
      <w:pPr>
        <w:widowControl w:val="0"/>
        <w:autoSpaceDE w:val="0"/>
        <w:autoSpaceDN w:val="0"/>
        <w:adjustRightInd w:val="0"/>
        <w:spacing w:after="0" w:line="240" w:lineRule="auto"/>
        <w:ind w:left="3542" w:right="-20" w:firstLine="58"/>
        <w:jc w:val="center"/>
        <w:rPr>
          <w:rFonts w:ascii="Times New Roman" w:hAnsi="Times New Roman"/>
          <w:sz w:val="24"/>
          <w:szCs w:val="24"/>
        </w:rPr>
      </w:pPr>
      <w:r w:rsidRPr="00E93B62">
        <w:rPr>
          <w:rFonts w:ascii="Times New Roman" w:hAnsi="Times New Roman"/>
          <w:sz w:val="24"/>
          <w:szCs w:val="24"/>
        </w:rPr>
        <w:t xml:space="preserve">Приложение № 1 </w:t>
      </w:r>
    </w:p>
    <w:p w:rsidR="00E52BDF" w:rsidRPr="00E93B62" w:rsidRDefault="00E52BDF" w:rsidP="00E52BDF">
      <w:pPr>
        <w:widowControl w:val="0"/>
        <w:autoSpaceDE w:val="0"/>
        <w:autoSpaceDN w:val="0"/>
        <w:adjustRightInd w:val="0"/>
        <w:spacing w:after="0" w:line="240" w:lineRule="auto"/>
        <w:ind w:left="5040" w:right="-20"/>
        <w:jc w:val="center"/>
        <w:rPr>
          <w:rFonts w:ascii="Times New Roman" w:hAnsi="Times New Roman"/>
          <w:sz w:val="24"/>
          <w:szCs w:val="24"/>
        </w:rPr>
      </w:pPr>
      <w:r w:rsidRPr="00E93B62">
        <w:rPr>
          <w:rFonts w:ascii="Times New Roman" w:hAnsi="Times New Roman"/>
          <w:sz w:val="24"/>
          <w:szCs w:val="24"/>
        </w:rPr>
        <w:t xml:space="preserve">к Положению об инсайдерской информации </w:t>
      </w:r>
      <w:r>
        <w:rPr>
          <w:rFonts w:ascii="Times New Roman" w:hAnsi="Times New Roman"/>
          <w:sz w:val="24"/>
          <w:szCs w:val="24"/>
        </w:rPr>
        <w:t>П</w:t>
      </w:r>
      <w:r w:rsidRPr="00E93B62">
        <w:rPr>
          <w:rFonts w:ascii="Times New Roman" w:hAnsi="Times New Roman"/>
          <w:sz w:val="24"/>
          <w:szCs w:val="24"/>
        </w:rPr>
        <w:t xml:space="preserve">АО </w:t>
      </w:r>
      <w:r>
        <w:rPr>
          <w:rFonts w:ascii="Times New Roman" w:hAnsi="Times New Roman"/>
          <w:sz w:val="24"/>
          <w:szCs w:val="24"/>
        </w:rPr>
        <w:t>«Ленэнерго»</w:t>
      </w:r>
    </w:p>
    <w:p w:rsidR="00E52BDF" w:rsidRPr="00E93B62" w:rsidRDefault="00E52BDF" w:rsidP="00E52BDF">
      <w:pPr>
        <w:widowControl w:val="0"/>
        <w:autoSpaceDE w:val="0"/>
        <w:autoSpaceDN w:val="0"/>
        <w:adjustRightInd w:val="0"/>
        <w:spacing w:after="0" w:line="298" w:lineRule="exact"/>
        <w:ind w:right="979"/>
        <w:rPr>
          <w:rFonts w:ascii="Times New Roman" w:hAnsi="Times New Roman"/>
          <w:bCs/>
          <w:sz w:val="28"/>
          <w:szCs w:val="28"/>
        </w:rPr>
      </w:pPr>
    </w:p>
    <w:p w:rsidR="00E52BDF" w:rsidRDefault="00E52BDF" w:rsidP="00E52BDF">
      <w:pPr>
        <w:spacing w:after="0" w:line="240" w:lineRule="auto"/>
        <w:jc w:val="center"/>
        <w:rPr>
          <w:rFonts w:ascii="Times New Roman" w:hAnsi="Times New Roman"/>
          <w:b/>
          <w:sz w:val="28"/>
          <w:szCs w:val="28"/>
        </w:rPr>
      </w:pPr>
      <w:r w:rsidRPr="004B69A5">
        <w:rPr>
          <w:rFonts w:ascii="Times New Roman" w:hAnsi="Times New Roman"/>
          <w:b/>
          <w:sz w:val="28"/>
          <w:szCs w:val="28"/>
        </w:rPr>
        <w:t>Перечень инсайдерской информации ПАО «Ленэнерго»</w:t>
      </w:r>
      <w:r>
        <w:rPr>
          <w:rFonts w:ascii="Times New Roman" w:hAnsi="Times New Roman"/>
          <w:b/>
          <w:sz w:val="28"/>
          <w:szCs w:val="28"/>
        </w:rPr>
        <w:t xml:space="preserve"> </w:t>
      </w:r>
    </w:p>
    <w:p w:rsidR="00E52BDF" w:rsidRPr="00EC5F35" w:rsidRDefault="00E52BDF" w:rsidP="00E52BDF">
      <w:pPr>
        <w:spacing w:after="0" w:line="240" w:lineRule="auto"/>
        <w:ind w:firstLine="709"/>
        <w:jc w:val="both"/>
        <w:rPr>
          <w:rFonts w:ascii="Times New Roman" w:hAnsi="Times New Roman"/>
          <w:bCs/>
          <w:sz w:val="28"/>
          <w:szCs w:val="28"/>
        </w:rPr>
      </w:pPr>
      <w:r w:rsidRPr="00EC5F35">
        <w:rPr>
          <w:rFonts w:ascii="Times New Roman" w:hAnsi="Times New Roman"/>
          <w:bCs/>
          <w:sz w:val="28"/>
          <w:szCs w:val="28"/>
        </w:rPr>
        <w:t xml:space="preserve">К инсайдерской информации </w:t>
      </w:r>
      <w:r w:rsidRPr="00EC5F35">
        <w:rPr>
          <w:rFonts w:ascii="Times New Roman" w:hAnsi="Times New Roman"/>
          <w:sz w:val="28"/>
          <w:szCs w:val="28"/>
        </w:rPr>
        <w:t>ПАО «Ленэнерго» относится следующая информация: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398"/>
      </w:tblGrid>
      <w:tr w:rsidR="00E52BDF" w:rsidRPr="00EC5F35" w:rsidTr="009C405E">
        <w:tc>
          <w:tcPr>
            <w:tcW w:w="958" w:type="dxa"/>
          </w:tcPr>
          <w:p w:rsidR="00E52BDF" w:rsidRPr="00EC5F35" w:rsidRDefault="00E52BDF" w:rsidP="009C405E">
            <w:pPr>
              <w:spacing w:after="0" w:line="240" w:lineRule="auto"/>
              <w:jc w:val="center"/>
              <w:rPr>
                <w:rFonts w:ascii="Times New Roman" w:hAnsi="Times New Roman"/>
                <w:bCs/>
                <w:sz w:val="28"/>
                <w:szCs w:val="28"/>
              </w:rPr>
            </w:pPr>
            <w:r w:rsidRPr="00EC5F35">
              <w:rPr>
                <w:rFonts w:ascii="Times New Roman" w:hAnsi="Times New Roman"/>
                <w:bCs/>
                <w:sz w:val="28"/>
                <w:szCs w:val="28"/>
              </w:rPr>
              <w:t>№ п/п</w:t>
            </w:r>
          </w:p>
        </w:tc>
        <w:tc>
          <w:tcPr>
            <w:tcW w:w="8398" w:type="dxa"/>
          </w:tcPr>
          <w:p w:rsidR="00E52BDF" w:rsidRPr="00EC5F35" w:rsidRDefault="00E52BDF" w:rsidP="009C405E">
            <w:pPr>
              <w:spacing w:after="0" w:line="240" w:lineRule="auto"/>
              <w:jc w:val="center"/>
              <w:rPr>
                <w:rFonts w:ascii="Times New Roman" w:hAnsi="Times New Roman"/>
                <w:bCs/>
                <w:sz w:val="28"/>
                <w:szCs w:val="28"/>
              </w:rPr>
            </w:pPr>
            <w:r w:rsidRPr="00EC5F35">
              <w:rPr>
                <w:rFonts w:ascii="Times New Roman" w:hAnsi="Times New Roman"/>
                <w:bCs/>
                <w:sz w:val="28"/>
                <w:szCs w:val="28"/>
              </w:rPr>
              <w:t>Тип информации</w:t>
            </w:r>
          </w:p>
        </w:tc>
      </w:tr>
      <w:tr w:rsidR="00E52BDF" w:rsidRPr="00EC5F35" w:rsidTr="009C405E">
        <w:tc>
          <w:tcPr>
            <w:tcW w:w="958" w:type="dxa"/>
          </w:tcPr>
          <w:p w:rsidR="00E52BDF" w:rsidRPr="00EC5F35" w:rsidRDefault="00E52BDF" w:rsidP="00E52BDF">
            <w:pPr>
              <w:pStyle w:val="a3"/>
              <w:numPr>
                <w:ilvl w:val="0"/>
                <w:numId w:val="4"/>
              </w:numPr>
              <w:tabs>
                <w:tab w:val="left" w:pos="0"/>
              </w:tabs>
              <w:spacing w:after="0" w:line="240" w:lineRule="auto"/>
              <w:ind w:left="0" w:firstLine="0"/>
              <w:contextualSpacing/>
              <w:rPr>
                <w:rFonts w:ascii="Times New Roman" w:hAnsi="Times New Roman"/>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созыве и проведении общего собрания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Общества;</w:t>
            </w:r>
          </w:p>
        </w:tc>
      </w:tr>
      <w:tr w:rsidR="00E52BDF" w:rsidRPr="00EC5F35" w:rsidTr="009C405E">
        <w:tc>
          <w:tcPr>
            <w:tcW w:w="958" w:type="dxa"/>
          </w:tcPr>
          <w:p w:rsidR="00E52BDF" w:rsidRPr="00EC5F35" w:rsidRDefault="00E52BDF" w:rsidP="009C405E">
            <w:pPr>
              <w:numPr>
                <w:ilvl w:val="0"/>
                <w:numId w:val="1"/>
              </w:numPr>
              <w:tabs>
                <w:tab w:val="left" w:pos="0"/>
                <w:tab w:val="left" w:pos="676"/>
              </w:tabs>
              <w:spacing w:after="0" w:line="240" w:lineRule="auto"/>
              <w:ind w:hanging="90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повестке дня заседания Совета директоров Общества, а также о принятых им решениях;</w:t>
            </w:r>
          </w:p>
        </w:tc>
      </w:tr>
      <w:tr w:rsidR="00E52BDF" w:rsidRPr="00EC5F35" w:rsidTr="009C405E">
        <w:tc>
          <w:tcPr>
            <w:tcW w:w="958" w:type="dxa"/>
          </w:tcPr>
          <w:p w:rsidR="00E52BDF" w:rsidRPr="00EC5F35" w:rsidRDefault="00E52BDF" w:rsidP="009C405E">
            <w:pPr>
              <w:numPr>
                <w:ilvl w:val="0"/>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фактах непринятия Советом директоров Общества следующих решений, которые должны быть приняты в соответствии с федеральными законами:</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firstLine="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о созыве годового общего собрания акционеров Общества, а также об иных решениях, связанных с подготовкой, созывом и проведением годового общего собрания акционеров Общества;</w:t>
            </w:r>
          </w:p>
        </w:tc>
      </w:tr>
      <w:tr w:rsidR="00E52BDF" w:rsidRPr="00EC5F35" w:rsidTr="009C405E">
        <w:trPr>
          <w:trHeight w:val="1222"/>
        </w:trPr>
        <w:tc>
          <w:tcPr>
            <w:tcW w:w="958" w:type="dxa"/>
            <w:tcBorders>
              <w:bottom w:val="single" w:sz="4" w:space="0" w:color="auto"/>
            </w:tcBorders>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Borders>
              <w:bottom w:val="single" w:sz="4" w:space="0" w:color="auto"/>
            </w:tcBorders>
          </w:tcPr>
          <w:p w:rsidR="00E52BDF" w:rsidRPr="00EC5F35" w:rsidRDefault="00E52BDF" w:rsidP="009C405E">
            <w:pPr>
              <w:pStyle w:val="ConsPlusNormal"/>
              <w:jc w:val="both"/>
              <w:rPr>
                <w:rFonts w:ascii="Times New Roman" w:hAnsi="Times New Roman" w:cs="Times New Roman"/>
                <w:sz w:val="28"/>
                <w:szCs w:val="28"/>
              </w:rPr>
            </w:pPr>
            <w:r w:rsidRPr="00EC5F35">
              <w:rPr>
                <w:rFonts w:ascii="Times New Roman" w:hAnsi="Times New Roman" w:cs="Times New Roman"/>
                <w:sz w:val="28"/>
                <w:szCs w:val="28"/>
              </w:rPr>
              <w:t>о созыве (проведении) или об отказе в созыве (проведении) внеочередного общего собрания акционеров Общества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включении или об отказе во включении внесенных вопросов в повестку дня общего собрания акционеров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в совокупности владельцами не менее чем 2 процентов голосующих акций Общества;</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об образовании единоличного исполнительного органа Общества на двух проведенных подряд заседаниях Совета директоров Общества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Общества в случае, предусмотренном пунктом 6 статьи 69 Федерального закона от 26.12.1995 № 208-ФЗ «Об акционерных обществах»;</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пунктом 7 статьи 69 Федерального закона от 26.12.1995 № 208-ФЗ «Об акционерных обществах»;</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Общества или о передаче полномочий его единоличного исполнительного органа управляющей организации (управляющему) в случае, когда Советом директоров Общества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tc>
      </w:tr>
      <w:tr w:rsidR="00E52BDF" w:rsidRPr="00EC5F35" w:rsidTr="009C405E">
        <w:tc>
          <w:tcPr>
            <w:tcW w:w="958" w:type="dxa"/>
          </w:tcPr>
          <w:p w:rsidR="00E52BDF" w:rsidRPr="00EC5F35" w:rsidRDefault="00E52BDF" w:rsidP="009C405E">
            <w:pPr>
              <w:numPr>
                <w:ilvl w:val="1"/>
                <w:numId w:val="1"/>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autoSpaceDE w:val="0"/>
              <w:autoSpaceDN w:val="0"/>
              <w:adjustRightInd w:val="0"/>
              <w:spacing w:after="0" w:line="240" w:lineRule="auto"/>
              <w:jc w:val="both"/>
              <w:rPr>
                <w:rFonts w:ascii="Times New Roman" w:hAnsi="Times New Roman"/>
                <w:sz w:val="28"/>
                <w:szCs w:val="28"/>
              </w:rPr>
            </w:pPr>
            <w:r w:rsidRPr="00EC5F35">
              <w:rPr>
                <w:rFonts w:ascii="Times New Roman" w:hAnsi="Times New Roman"/>
                <w:sz w:val="28"/>
                <w:szCs w:val="28"/>
              </w:rPr>
              <w:t>о рекомендациях в отношении полученного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Общества, в том числе в отношении его работников.</w:t>
            </w:r>
          </w:p>
        </w:tc>
      </w:tr>
      <w:tr w:rsidR="00E52BDF" w:rsidRPr="00EC5F35" w:rsidTr="009C405E">
        <w:trPr>
          <w:trHeight w:val="801"/>
        </w:trPr>
        <w:tc>
          <w:tcPr>
            <w:tcW w:w="958" w:type="dxa"/>
            <w:tcBorders>
              <w:bottom w:val="single" w:sz="4" w:space="0" w:color="auto"/>
            </w:tcBorders>
          </w:tcPr>
          <w:p w:rsidR="00E52BDF" w:rsidRPr="00EC5F35" w:rsidRDefault="00E52BDF" w:rsidP="00E52BDF">
            <w:pPr>
              <w:pStyle w:val="a3"/>
              <w:numPr>
                <w:ilvl w:val="0"/>
                <w:numId w:val="5"/>
              </w:numPr>
              <w:tabs>
                <w:tab w:val="left" w:pos="0"/>
                <w:tab w:val="left" w:pos="142"/>
              </w:tabs>
              <w:spacing w:after="0" w:line="240" w:lineRule="auto"/>
              <w:ind w:left="142" w:hanging="142"/>
              <w:contextualSpacing/>
              <w:rPr>
                <w:rFonts w:ascii="Times New Roman" w:hAnsi="Times New Roman"/>
                <w:bCs/>
                <w:sz w:val="28"/>
                <w:szCs w:val="28"/>
              </w:rPr>
            </w:pPr>
          </w:p>
        </w:tc>
        <w:tc>
          <w:tcPr>
            <w:tcW w:w="8398" w:type="dxa"/>
            <w:tcBorders>
              <w:bottom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tc>
      </w:tr>
      <w:tr w:rsidR="00E52BDF" w:rsidRPr="00EC5F35" w:rsidTr="009C405E">
        <w:trPr>
          <w:trHeight w:val="299"/>
        </w:trPr>
        <w:tc>
          <w:tcPr>
            <w:tcW w:w="958" w:type="dxa"/>
            <w:tcBorders>
              <w:top w:val="single" w:sz="4" w:space="0" w:color="auto"/>
            </w:tcBorders>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Borders>
              <w:top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о появлении у Общества подконтрольной ему организации, имеющей для него существенное значение, а также о прекращении оснований контроля над такой организацией;</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появлении лица, контролирующего Общество, а также о прекращении оснований такого контроля;</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pStyle w:val="ConsPlusNormal"/>
              <w:jc w:val="both"/>
              <w:rPr>
                <w:rFonts w:ascii="Times New Roman" w:hAnsi="Times New Roman" w:cs="Times New Roman"/>
                <w:sz w:val="28"/>
                <w:szCs w:val="28"/>
              </w:rPr>
            </w:pPr>
            <w:r w:rsidRPr="00EC5F35">
              <w:rPr>
                <w:rFonts w:ascii="Times New Roman" w:hAnsi="Times New Roman" w:cs="Times New Roman"/>
                <w:sz w:val="28"/>
                <w:szCs w:val="28"/>
              </w:rPr>
              <w:t>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w:t>
            </w:r>
            <w:r w:rsidRPr="00EC5F35">
              <w:rPr>
                <w:rFonts w:ascii="Times New Roman" w:hAnsi="Times New Roman"/>
                <w:sz w:val="28"/>
                <w:szCs w:val="28"/>
              </w:rPr>
              <w:lastRenderedPageBreak/>
              <w:t>государственный реестр юридических лиц записей, связанных с реорганизацией, прекращением деятельности или с ликвидацией указанных организаций;</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появлении у Общества,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Общества, признаков несостоятельности (банкротства), предусмотренных законодательством Российской Федерации о несостоятельности (банкротстве);</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tc>
      </w:tr>
      <w:tr w:rsidR="00E52BDF" w:rsidRPr="00EC5F35" w:rsidTr="009C405E">
        <w:tc>
          <w:tcPr>
            <w:tcW w:w="958" w:type="dxa"/>
          </w:tcPr>
          <w:p w:rsidR="00E52BDF" w:rsidRPr="00EC5F35" w:rsidRDefault="00E52BDF" w:rsidP="00E52BDF">
            <w:pPr>
              <w:pStyle w:val="a3"/>
              <w:numPr>
                <w:ilvl w:val="0"/>
                <w:numId w:val="6"/>
              </w:numPr>
              <w:tabs>
                <w:tab w:val="left" w:pos="0"/>
                <w:tab w:val="left" w:pos="142"/>
              </w:tabs>
              <w:spacing w:after="0" w:line="240" w:lineRule="auto"/>
              <w:ind w:left="142" w:hanging="142"/>
              <w:contextualSpacing/>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Общества, может существенным образом повлиять на финансово-хозяйственное положение Общества или указанных лиц;</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pStyle w:val="ConsPlusNormal"/>
              <w:jc w:val="both"/>
              <w:rPr>
                <w:rFonts w:ascii="Times New Roman" w:hAnsi="Times New Roman" w:cs="Times New Roman"/>
                <w:sz w:val="28"/>
                <w:szCs w:val="28"/>
              </w:rPr>
            </w:pPr>
            <w:r w:rsidRPr="00EC5F35">
              <w:rPr>
                <w:rFonts w:ascii="Times New Roman" w:hAnsi="Times New Roman" w:cs="Times New Roman"/>
                <w:sz w:val="28"/>
                <w:szCs w:val="28"/>
              </w:rPr>
              <w:t xml:space="preserve">о дате, на которую определяются лица, имеющие право на осуществление прав по эмиссионным ценным бумагам Общества, в том числе о дате, на которую составляется список лиц, имеющих право на участие в общем собрании акционеров Общества; </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pStyle w:val="ConsPlusNormal"/>
              <w:jc w:val="both"/>
              <w:rPr>
                <w:rFonts w:ascii="Times New Roman" w:hAnsi="Times New Roman" w:cs="Times New Roman"/>
                <w:sz w:val="28"/>
                <w:szCs w:val="28"/>
              </w:rPr>
            </w:pPr>
            <w:r w:rsidRPr="00EC5F35">
              <w:rPr>
                <w:rFonts w:ascii="Times New Roman" w:hAnsi="Times New Roman" w:cs="Times New Roman"/>
                <w:sz w:val="28"/>
                <w:szCs w:val="28"/>
              </w:rPr>
              <w:t>о принятии уполномоченными органами Общества следующих решений:</w:t>
            </w:r>
          </w:p>
        </w:tc>
      </w:tr>
      <w:tr w:rsidR="00E52BDF" w:rsidRPr="00EC5F35" w:rsidTr="009C405E">
        <w:tc>
          <w:tcPr>
            <w:tcW w:w="958" w:type="dxa"/>
          </w:tcPr>
          <w:p w:rsidR="00E52BDF" w:rsidRPr="00EC5F35"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размещении эмиссионных ценных бумаг Общества;</w:t>
            </w:r>
          </w:p>
        </w:tc>
      </w:tr>
      <w:tr w:rsidR="00E52BDF" w:rsidRPr="00EC5F35" w:rsidTr="009C405E">
        <w:tc>
          <w:tcPr>
            <w:tcW w:w="958" w:type="dxa"/>
          </w:tcPr>
          <w:p w:rsidR="00E52BDF" w:rsidRPr="003E7517"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3E7517" w:rsidRDefault="00E52BDF" w:rsidP="009C405E">
            <w:pPr>
              <w:spacing w:after="0" w:line="240" w:lineRule="auto"/>
              <w:jc w:val="both"/>
              <w:rPr>
                <w:rFonts w:ascii="Times New Roman" w:hAnsi="Times New Roman"/>
                <w:bCs/>
                <w:sz w:val="28"/>
                <w:szCs w:val="28"/>
              </w:rPr>
            </w:pPr>
            <w:r w:rsidRPr="003E7517">
              <w:rPr>
                <w:rFonts w:ascii="Times New Roman" w:hAnsi="Times New Roman"/>
                <w:sz w:val="28"/>
                <w:szCs w:val="28"/>
              </w:rPr>
              <w:t>о дате начала размещения эмиссионных ценных бумаг Общества;</w:t>
            </w:r>
          </w:p>
        </w:tc>
      </w:tr>
      <w:tr w:rsidR="00E52BDF" w:rsidRPr="00EC5F35" w:rsidTr="009C405E">
        <w:trPr>
          <w:trHeight w:val="295"/>
        </w:trPr>
        <w:tc>
          <w:tcPr>
            <w:tcW w:w="958" w:type="dxa"/>
            <w:tcBorders>
              <w:top w:val="single" w:sz="4" w:space="0" w:color="auto"/>
              <w:bottom w:val="single" w:sz="4" w:space="0" w:color="auto"/>
            </w:tcBorders>
          </w:tcPr>
          <w:p w:rsidR="00E52BDF" w:rsidRPr="003E7517"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Borders>
              <w:top w:val="single" w:sz="4" w:space="0" w:color="auto"/>
              <w:bottom w:val="single" w:sz="4" w:space="0" w:color="auto"/>
            </w:tcBorders>
          </w:tcPr>
          <w:p w:rsidR="00E52BDF" w:rsidRPr="003E7517" w:rsidDel="00A13654" w:rsidRDefault="00E52BDF" w:rsidP="009C405E">
            <w:pPr>
              <w:pStyle w:val="ConsPlusNormal"/>
              <w:jc w:val="both"/>
              <w:rPr>
                <w:rFonts w:ascii="Times New Roman" w:hAnsi="Times New Roman" w:cs="Times New Roman"/>
                <w:sz w:val="28"/>
                <w:szCs w:val="28"/>
              </w:rPr>
            </w:pPr>
            <w:r w:rsidRPr="003E7517">
              <w:rPr>
                <w:rFonts w:ascii="Times New Roman" w:hAnsi="Times New Roman" w:cs="Times New Roman"/>
                <w:sz w:val="28"/>
                <w:szCs w:val="28"/>
              </w:rPr>
              <w:t>о приостановлении размещения эмиссионных ценных бумаг Общества;</w:t>
            </w:r>
          </w:p>
        </w:tc>
      </w:tr>
      <w:tr w:rsidR="00E52BDF" w:rsidRPr="00EC5F35" w:rsidTr="009C405E">
        <w:trPr>
          <w:trHeight w:val="473"/>
        </w:trPr>
        <w:tc>
          <w:tcPr>
            <w:tcW w:w="958" w:type="dxa"/>
            <w:tcBorders>
              <w:top w:val="single" w:sz="4" w:space="0" w:color="auto"/>
              <w:bottom w:val="single" w:sz="4" w:space="0" w:color="auto"/>
            </w:tcBorders>
          </w:tcPr>
          <w:p w:rsidR="00E52BDF" w:rsidRPr="003E7517"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Borders>
              <w:top w:val="single" w:sz="4" w:space="0" w:color="auto"/>
              <w:bottom w:val="single" w:sz="4" w:space="0" w:color="auto"/>
            </w:tcBorders>
          </w:tcPr>
          <w:p w:rsidR="00E52BDF" w:rsidRPr="003E7517" w:rsidRDefault="00E52BDF" w:rsidP="009C405E">
            <w:pPr>
              <w:spacing w:after="0" w:line="240" w:lineRule="auto"/>
              <w:jc w:val="both"/>
              <w:rPr>
                <w:rFonts w:ascii="Times New Roman" w:hAnsi="Times New Roman"/>
                <w:sz w:val="28"/>
                <w:szCs w:val="28"/>
              </w:rPr>
            </w:pPr>
            <w:r w:rsidRPr="003E7517">
              <w:rPr>
                <w:rFonts w:ascii="Times New Roman" w:hAnsi="Times New Roman"/>
                <w:sz w:val="28"/>
                <w:szCs w:val="28"/>
              </w:rPr>
              <w:t>об отказе от размещения эмиссионных ценных бумаг выпуска (дополнительного выпуска) Общества;</w:t>
            </w:r>
          </w:p>
        </w:tc>
      </w:tr>
      <w:tr w:rsidR="00E52BDF" w:rsidRPr="00EC5F35" w:rsidTr="009C405E">
        <w:trPr>
          <w:trHeight w:val="290"/>
        </w:trPr>
        <w:tc>
          <w:tcPr>
            <w:tcW w:w="958" w:type="dxa"/>
            <w:tcBorders>
              <w:top w:val="single" w:sz="4" w:space="0" w:color="auto"/>
            </w:tcBorders>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Borders>
              <w:top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о завершении размещения эмиссионных ценных бумаг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 </w:t>
            </w:r>
            <w:r w:rsidRPr="00EC5F35">
              <w:rPr>
                <w:rFonts w:ascii="Times New Roman" w:hAnsi="Times New Roman"/>
                <w:sz w:val="28"/>
                <w:szCs w:val="28"/>
              </w:rPr>
              <w:lastRenderedPageBreak/>
              <w:t xml:space="preserve">государственную регистрацию программы облигаций, государственную регистрацию изменений, вносимых в решение о выпуске (дополнительном выпуске) эмиссионных ценных бумаг и (или) в их </w:t>
            </w:r>
            <w:r w:rsidRPr="003E7517">
              <w:rPr>
                <w:rFonts w:ascii="Times New Roman" w:hAnsi="Times New Roman"/>
                <w:sz w:val="28"/>
                <w:szCs w:val="28"/>
              </w:rPr>
              <w:t>проспект, 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 облигаций, государственную регистрацию отчета об итогах выпуска (дополнительного выпуска) эмиссионных ценных бумаг;</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направлении (подаче) Обществом уведомления об итогах выпуска (дополнительного выпуска) эмиссионных ценных бумаг;</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решении арбитражного суда о признании выпуска (дополнительного выпуска) эмиссионных ценных бумаг Общества недействительным;</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о погашении эмиссионных ценных бумаг Общества; </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начисленных и (или) выплаченных доходах по эмиссионным ценным бумагам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заключении Обществом договора с российским организатором торговли о включении эмиссионных ценных бумаг Общества в список ценных бумаг, допущенных к организованным торгам, а также договора с российской биржей о включении эмиссионных ценных бумаг Общества в котировальный список российской биржи;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заключении Обществом договора 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tc>
      </w:tr>
      <w:tr w:rsidR="00E52BDF" w:rsidRPr="00EC5F35" w:rsidTr="009C405E">
        <w:tc>
          <w:tcPr>
            <w:tcW w:w="958" w:type="dxa"/>
          </w:tcPr>
          <w:p w:rsidR="00E52BDF" w:rsidRPr="00EC5F35" w:rsidRDefault="00E52BDF" w:rsidP="00E52BDF">
            <w:pPr>
              <w:numPr>
                <w:ilvl w:val="0"/>
                <w:numId w:val="6"/>
              </w:numPr>
              <w:tabs>
                <w:tab w:val="left" w:pos="0"/>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Общества), об условиях указанного договора, а также о прекращении такого договора;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подаче Обществом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о неисполнении обязательств Общества перед владельцами его эмиссионных ценных бумаг; </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поступившем Обществу в соответствии с главой XI.</w:t>
            </w:r>
            <w:r w:rsidRPr="00EC5F35">
              <w:rPr>
                <w:rFonts w:ascii="Times New Roman" w:hAnsi="Times New Roman"/>
                <w:sz w:val="28"/>
                <w:szCs w:val="28"/>
                <w:lang w:val="en-US"/>
              </w:rPr>
              <w:t>I</w:t>
            </w:r>
            <w:r w:rsidRPr="00EC5F35">
              <w:rPr>
                <w:rFonts w:ascii="Times New Roman" w:hAnsi="Times New Roman"/>
                <w:sz w:val="28"/>
                <w:szCs w:val="28"/>
              </w:rPr>
              <w:t xml:space="preserve"> Федерального закона от 26.12.1995 № 208-ФЗ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поступившем Обществу в соответствии с главой XI.</w:t>
            </w:r>
            <w:r w:rsidRPr="00EC5F35">
              <w:rPr>
                <w:rFonts w:ascii="Times New Roman" w:hAnsi="Times New Roman"/>
                <w:sz w:val="28"/>
                <w:szCs w:val="28"/>
                <w:lang w:val="en-US"/>
              </w:rPr>
              <w:t>I</w:t>
            </w:r>
            <w:r w:rsidRPr="00EC5F35">
              <w:rPr>
                <w:rFonts w:ascii="Times New Roman" w:hAnsi="Times New Roman"/>
                <w:sz w:val="28"/>
                <w:szCs w:val="28"/>
              </w:rPr>
              <w:t xml:space="preserve"> Федерального закона от 26.12.1995 № 208-ФЗ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последнего завершенного отчетного периода (квартала, года), предшествующего совершению сделки;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autoSpaceDE w:val="0"/>
              <w:autoSpaceDN w:val="0"/>
              <w:adjustRightInd w:val="0"/>
              <w:spacing w:after="0" w:line="240" w:lineRule="auto"/>
              <w:jc w:val="both"/>
              <w:rPr>
                <w:rFonts w:ascii="Times New Roman" w:hAnsi="Times New Roman"/>
                <w:sz w:val="28"/>
                <w:szCs w:val="28"/>
              </w:rPr>
            </w:pPr>
            <w:r w:rsidRPr="00EC5F35">
              <w:rPr>
                <w:rFonts w:ascii="Times New Roman" w:hAnsi="Times New Roman"/>
                <w:sz w:val="28"/>
                <w:szCs w:val="28"/>
              </w:rPr>
              <w:t>о совершении Обществом сделки, в совершении которой имеется заинтересованность, если размер такой сделки составляет:</w:t>
            </w:r>
          </w:p>
          <w:p w:rsidR="00E52BDF" w:rsidRPr="00EC5F35" w:rsidRDefault="00E52BDF" w:rsidP="009C405E">
            <w:pPr>
              <w:autoSpaceDE w:val="0"/>
              <w:autoSpaceDN w:val="0"/>
              <w:adjustRightInd w:val="0"/>
              <w:spacing w:after="0" w:line="240" w:lineRule="auto"/>
              <w:ind w:firstLine="317"/>
              <w:jc w:val="both"/>
              <w:rPr>
                <w:rFonts w:ascii="Times New Roman" w:hAnsi="Times New Roman"/>
                <w:sz w:val="28"/>
                <w:szCs w:val="28"/>
              </w:rPr>
            </w:pPr>
            <w:r w:rsidRPr="00EC5F35">
              <w:rPr>
                <w:rFonts w:ascii="Times New Roman" w:hAnsi="Times New Roman"/>
                <w:sz w:val="28"/>
                <w:szCs w:val="28"/>
              </w:rPr>
              <w:lastRenderedPageBreak/>
              <w:t>а) для Общества, балансовая стоимость активов которого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Общества,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Обществом такой сделки, составляет не более 100 миллиардов рублей, - более 500 миллионов рублей либо два процента или более балансовой стоимости активов Общества на указанную в настоящем абзаце дату;</w:t>
            </w:r>
          </w:p>
          <w:p w:rsidR="00E52BDF" w:rsidRPr="00EC5F35" w:rsidRDefault="00E52BDF" w:rsidP="009C405E">
            <w:pPr>
              <w:autoSpaceDE w:val="0"/>
              <w:autoSpaceDN w:val="0"/>
              <w:adjustRightInd w:val="0"/>
              <w:spacing w:after="0" w:line="240" w:lineRule="auto"/>
              <w:ind w:firstLine="317"/>
              <w:jc w:val="both"/>
              <w:rPr>
                <w:rFonts w:ascii="Times New Roman" w:hAnsi="Times New Roman"/>
                <w:bCs/>
                <w:sz w:val="28"/>
                <w:szCs w:val="28"/>
              </w:rPr>
            </w:pPr>
            <w:r w:rsidRPr="00EC5F35">
              <w:rPr>
                <w:rFonts w:ascii="Times New Roman" w:hAnsi="Times New Roman"/>
                <w:sz w:val="28"/>
                <w:szCs w:val="28"/>
              </w:rPr>
              <w:t>б) для Общества, балансовая стоимость активов которого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Общества,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Обществом такой сделки, превышает 100 миллиардов рублей, - один процент или более балансовой стоимости активов Общества на указанную в настоящем абзаце дату.</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об изменении состава и (или) размера предмета залога по облигациям Общества с 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w:t>
            </w:r>
            <w:r w:rsidRPr="00EC5F35">
              <w:rPr>
                <w:rFonts w:ascii="Times New Roman" w:hAnsi="Times New Roman"/>
                <w:sz w:val="28"/>
                <w:szCs w:val="28"/>
              </w:rPr>
              <w:lastRenderedPageBreak/>
              <w:t>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него существенное финансово-хозяйственное значение;</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об истечении срока полномочий единоличного исполнительного органа и (или) членов коллегиального исполнительного органа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об изменении размера доли участия в уставном капитале Общества и подконтрольных Обществу организаций, имеющих для него существенное значение:</w:t>
            </w:r>
          </w:p>
        </w:tc>
      </w:tr>
      <w:tr w:rsidR="00E52BDF" w:rsidRPr="00EC5F35" w:rsidTr="009C405E">
        <w:tc>
          <w:tcPr>
            <w:tcW w:w="958" w:type="dxa"/>
          </w:tcPr>
          <w:p w:rsidR="00E52BDF" w:rsidRPr="00EC5F35"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лиц, являющихся членами Совета директоров, членами коллегиального исполнительного органа Общества, а также лица, занимающего должность (осуществляющего функции) единоличного исполнительного органа Общества;</w:t>
            </w:r>
          </w:p>
        </w:tc>
      </w:tr>
      <w:tr w:rsidR="00E52BDF" w:rsidRPr="00EC5F35" w:rsidTr="009C405E">
        <w:tc>
          <w:tcPr>
            <w:tcW w:w="958" w:type="dxa"/>
          </w:tcPr>
          <w:p w:rsidR="00E52BDF" w:rsidRPr="00EC5F35" w:rsidRDefault="00E52BDF" w:rsidP="00E52BDF">
            <w:pPr>
              <w:numPr>
                <w:ilvl w:val="1"/>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w:t>
            </w:r>
            <w:r w:rsidRPr="00EC5F35">
              <w:rPr>
                <w:rFonts w:ascii="Times New Roman" w:hAnsi="Times New Roman"/>
                <w:sz w:val="28"/>
                <w:szCs w:val="28"/>
              </w:rPr>
              <w:lastRenderedPageBreak/>
              <w:t>единоличного исполнительного органа Общества переданы управляющей организации.</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tc>
      </w:tr>
      <w:tr w:rsidR="00E52BDF" w:rsidRPr="00EC5F35" w:rsidTr="009C405E">
        <w:tc>
          <w:tcPr>
            <w:tcW w:w="958" w:type="dxa"/>
          </w:tcPr>
          <w:p w:rsidR="00E52BDF" w:rsidRPr="00EC5F35" w:rsidRDefault="00E52BDF" w:rsidP="00E52BDF">
            <w:pPr>
              <w:numPr>
                <w:ilvl w:val="0"/>
                <w:numId w:val="6"/>
              </w:numPr>
              <w:tabs>
                <w:tab w:val="left" w:pos="0"/>
                <w:tab w:val="left" w:pos="567"/>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предъявлении лицу, предоставившему обеспечение по облигациям Общества, требований, связанных с исполнением обязательств по таким облигациям;</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tc>
      </w:tr>
      <w:tr w:rsidR="00E52BDF" w:rsidRPr="00EC5F35" w:rsidTr="009C405E">
        <w:tc>
          <w:tcPr>
            <w:tcW w:w="958" w:type="dxa"/>
          </w:tcPr>
          <w:p w:rsidR="00E52BDF" w:rsidRPr="00EC5F35" w:rsidRDefault="00E52BDF" w:rsidP="00E52BDF">
            <w:pPr>
              <w:numPr>
                <w:ilvl w:val="0"/>
                <w:numId w:val="6"/>
              </w:numPr>
              <w:tabs>
                <w:tab w:val="left" w:pos="283"/>
                <w:tab w:val="left" w:pos="567"/>
              </w:tabs>
              <w:spacing w:after="0" w:line="240" w:lineRule="auto"/>
              <w:ind w:left="142" w:hanging="142"/>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о приобретении (об отчуждении) голосующих акций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
        </w:tc>
      </w:tr>
      <w:tr w:rsidR="00E52BDF" w:rsidRPr="00EC5F35" w:rsidTr="009C405E">
        <w:tc>
          <w:tcPr>
            <w:tcW w:w="958" w:type="dxa"/>
          </w:tcPr>
          <w:p w:rsidR="00E52BDF" w:rsidRPr="00EC5F35" w:rsidRDefault="00E52BDF" w:rsidP="00E52BDF">
            <w:pPr>
              <w:numPr>
                <w:ilvl w:val="0"/>
                <w:numId w:val="6"/>
              </w:numPr>
              <w:tabs>
                <w:tab w:val="left" w:pos="425"/>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направляемая или предоставляемая Обществом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Общества;</w:t>
            </w:r>
          </w:p>
        </w:tc>
      </w:tr>
      <w:tr w:rsidR="00E52BDF" w:rsidRPr="00EC5F35" w:rsidTr="009C405E">
        <w:trPr>
          <w:trHeight w:val="828"/>
        </w:trPr>
        <w:tc>
          <w:tcPr>
            <w:tcW w:w="958" w:type="dxa"/>
            <w:tcBorders>
              <w:bottom w:val="single" w:sz="4" w:space="0" w:color="auto"/>
            </w:tcBorders>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Borders>
              <w:bottom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 xml:space="preserve">составляющая годовую бухгалтерскую (финансовую) отчетность и консолидированную финансовую отчетность Общества, а также </w:t>
            </w:r>
            <w:r w:rsidRPr="00EC5F35">
              <w:rPr>
                <w:rFonts w:ascii="Times New Roman" w:hAnsi="Times New Roman"/>
                <w:sz w:val="28"/>
                <w:szCs w:val="28"/>
              </w:rPr>
              <w:lastRenderedPageBreak/>
              <w:t>содержащаяся в аудиторских заключениях, подготовленных в отношении указанной отчетности;</w:t>
            </w:r>
          </w:p>
        </w:tc>
      </w:tr>
      <w:tr w:rsidR="00E52BDF" w:rsidRPr="00EC5F35" w:rsidTr="009C405E">
        <w:trPr>
          <w:trHeight w:val="299"/>
        </w:trPr>
        <w:tc>
          <w:tcPr>
            <w:tcW w:w="958" w:type="dxa"/>
            <w:tcBorders>
              <w:top w:val="single" w:sz="4" w:space="0" w:color="auto"/>
            </w:tcBorders>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Borders>
              <w:top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 xml:space="preserve">составляющая промежуточную бухгалтерскую (финансовую) отчетность и консолидированную финансовую отчетность Общества за отчетный период, состоящий из трех, шести или девяти месяцев текущего года, содержащаяся в аудиторских заключениях, подготовленных в отношении указанной отчетности, </w:t>
            </w:r>
            <w:r w:rsidRPr="003E7517">
              <w:rPr>
                <w:rFonts w:ascii="Times New Roman" w:hAnsi="Times New Roman"/>
                <w:sz w:val="28"/>
                <w:szCs w:val="28"/>
              </w:rPr>
              <w:t>а также при наличии у Общества промежуточной финансовой отчетности и консолидированной финансовой отчетности, составленных в соответствии с Международными стандартами финансовой отчетности (МСФО), введенными в действие на территории Российской Федерации в порядке, установленном постановлением Правительства Российской Федерации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составляющая такую финансовую отчетность Общества, а если в отношении нее проведен аудит, содержащаяся в соответствующих аудиторских заключениях;</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 xml:space="preserve">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w:t>
            </w:r>
            <w:r w:rsidRPr="003E7517">
              <w:rPr>
                <w:rFonts w:ascii="Times New Roman" w:hAnsi="Times New Roman"/>
                <w:sz w:val="28"/>
                <w:szCs w:val="28"/>
              </w:rPr>
              <w:t>утвержденной программой облигаций, утвержденными условиями</w:t>
            </w:r>
            <w:r w:rsidRPr="00EC5F35">
              <w:rPr>
                <w:rFonts w:ascii="Times New Roman" w:hAnsi="Times New Roman"/>
                <w:sz w:val="28"/>
                <w:szCs w:val="28"/>
                <w:highlight w:val="yellow"/>
              </w:rPr>
              <w:t xml:space="preserve"> </w:t>
            </w:r>
            <w:r w:rsidRPr="003E7517">
              <w:rPr>
                <w:rFonts w:ascii="Times New Roman" w:hAnsi="Times New Roman"/>
                <w:sz w:val="28"/>
                <w:szCs w:val="28"/>
              </w:rPr>
              <w:t>выпуска (дополнительного выпуска) облигаций в рамках программы облигаций,</w:t>
            </w:r>
            <w:r w:rsidRPr="00EC5F35">
              <w:rPr>
                <w:rFonts w:ascii="Times New Roman" w:hAnsi="Times New Roman"/>
                <w:sz w:val="28"/>
                <w:szCs w:val="28"/>
              </w:rPr>
              <w:t xml:space="preserve">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tc>
      </w:tr>
      <w:tr w:rsidR="00E52BDF" w:rsidRPr="00EC5F35" w:rsidTr="009C405E">
        <w:trPr>
          <w:trHeight w:val="1130"/>
        </w:trPr>
        <w:tc>
          <w:tcPr>
            <w:tcW w:w="958" w:type="dxa"/>
            <w:tcBorders>
              <w:bottom w:val="single" w:sz="4" w:space="0" w:color="auto"/>
            </w:tcBorders>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Borders>
              <w:bottom w:val="single" w:sz="4" w:space="0" w:color="auto"/>
            </w:tcBorders>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содержащаяся в утвержденном уполномоченным органом Общества отчете (уведомлении) об итогах выпуска эмиссионных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r w:rsidRPr="00EC5F35">
              <w:rPr>
                <w:rFonts w:ascii="Times New Roman" w:hAnsi="Times New Roman"/>
                <w:bCs/>
                <w:sz w:val="28"/>
                <w:szCs w:val="28"/>
              </w:rPr>
              <w:t>;</w:t>
            </w:r>
          </w:p>
        </w:tc>
      </w:tr>
      <w:tr w:rsidR="00E52BDF" w:rsidRPr="00EC5F35" w:rsidTr="009C405E">
        <w:trPr>
          <w:trHeight w:val="394"/>
        </w:trPr>
        <w:tc>
          <w:tcPr>
            <w:tcW w:w="958" w:type="dxa"/>
            <w:tcBorders>
              <w:top w:val="single" w:sz="4" w:space="0" w:color="auto"/>
            </w:tcBorders>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Borders>
              <w:top w:val="single" w:sz="4" w:space="0" w:color="auto"/>
            </w:tcBorders>
          </w:tcPr>
          <w:p w:rsidR="00E52BDF" w:rsidRPr="00EC5F35" w:rsidRDefault="00E52BDF" w:rsidP="009C405E">
            <w:pPr>
              <w:spacing w:after="0" w:line="240" w:lineRule="auto"/>
              <w:jc w:val="both"/>
              <w:rPr>
                <w:rFonts w:ascii="Times New Roman" w:hAnsi="Times New Roman"/>
                <w:sz w:val="28"/>
                <w:szCs w:val="28"/>
              </w:rPr>
            </w:pPr>
            <w:r w:rsidRPr="00EC5F35">
              <w:rPr>
                <w:rFonts w:ascii="Times New Roman" w:hAnsi="Times New Roman"/>
                <w:sz w:val="28"/>
                <w:szCs w:val="28"/>
              </w:rPr>
              <w:t>содержащаяся в утвержденном уполномоченным органом Общества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содержащаяся в подписанных уполномоченными лицами Общества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spacing w:after="0" w:line="240" w:lineRule="auto"/>
              <w:jc w:val="both"/>
              <w:rPr>
                <w:rFonts w:ascii="Times New Roman" w:hAnsi="Times New Roman"/>
                <w:bCs/>
                <w:sz w:val="28"/>
                <w:szCs w:val="28"/>
              </w:rPr>
            </w:pPr>
            <w:r w:rsidRPr="00EC5F35">
              <w:rPr>
                <w:rFonts w:ascii="Times New Roman" w:hAnsi="Times New Roman"/>
                <w:sz w:val="28"/>
                <w:szCs w:val="28"/>
              </w:rPr>
              <w:t>содержащаяся в подписанных уполномоченными лицами Общества годовых отчетах Общества,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autoSpaceDE w:val="0"/>
              <w:autoSpaceDN w:val="0"/>
              <w:adjustRightInd w:val="0"/>
              <w:spacing w:after="0" w:line="240" w:lineRule="auto"/>
              <w:jc w:val="both"/>
              <w:rPr>
                <w:rFonts w:ascii="Times New Roman" w:hAnsi="Times New Roman"/>
                <w:sz w:val="28"/>
                <w:szCs w:val="28"/>
              </w:rPr>
            </w:pPr>
            <w:r w:rsidRPr="00EC5F35">
              <w:rPr>
                <w:rFonts w:ascii="Times New Roman" w:hAnsi="Times New Roman"/>
                <w:sz w:val="28"/>
                <w:szCs w:val="28"/>
              </w:rPr>
              <w:t>о заключении Обществом договора о стратегическом партнерстве или иного договора, не предусмотренного подпунктами 20, 21, 23, 30, 32, 37 настоящего Перечня, если заключение таких договоров может оказать существенное влияние на цену эмиссионных ценных бумаг Общества;</w:t>
            </w:r>
          </w:p>
        </w:tc>
      </w:tr>
      <w:tr w:rsidR="00E52BDF" w:rsidRPr="00EC5F35" w:rsidTr="009C405E">
        <w:tc>
          <w:tcPr>
            <w:tcW w:w="958" w:type="dxa"/>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Pr>
          <w:p w:rsidR="00E52BDF" w:rsidRPr="00EC5F35" w:rsidRDefault="00E52BDF" w:rsidP="009C405E">
            <w:pPr>
              <w:autoSpaceDE w:val="0"/>
              <w:autoSpaceDN w:val="0"/>
              <w:adjustRightInd w:val="0"/>
              <w:spacing w:after="0" w:line="240" w:lineRule="auto"/>
              <w:jc w:val="both"/>
              <w:rPr>
                <w:rFonts w:ascii="Times New Roman" w:hAnsi="Times New Roman"/>
                <w:sz w:val="28"/>
                <w:szCs w:val="28"/>
              </w:rPr>
            </w:pPr>
            <w:r w:rsidRPr="00EC5F35">
              <w:rPr>
                <w:rFonts w:ascii="Times New Roman" w:hAnsi="Times New Roman"/>
                <w:sz w:val="28"/>
                <w:szCs w:val="28"/>
              </w:rPr>
              <w:t>о проведении и повестке дня (об отказе в проведении) общего собрания владельцев облигаций Общества, а также о решениях, принятых общим собранием владельцев облигаций Общества;</w:t>
            </w:r>
          </w:p>
        </w:tc>
      </w:tr>
      <w:tr w:rsidR="00E52BDF" w:rsidRPr="00EC5F35" w:rsidTr="009C405E">
        <w:tc>
          <w:tcPr>
            <w:tcW w:w="958" w:type="dxa"/>
            <w:tcBorders>
              <w:right w:val="single" w:sz="4" w:space="0" w:color="auto"/>
            </w:tcBorders>
          </w:tcPr>
          <w:p w:rsidR="00E52BDF" w:rsidRPr="00EC5F35" w:rsidRDefault="00E52BDF" w:rsidP="00E52BDF">
            <w:pPr>
              <w:numPr>
                <w:ilvl w:val="0"/>
                <w:numId w:val="6"/>
              </w:numPr>
              <w:tabs>
                <w:tab w:val="left" w:pos="0"/>
                <w:tab w:val="left" w:pos="142"/>
              </w:tabs>
              <w:spacing w:after="0" w:line="240" w:lineRule="auto"/>
              <w:ind w:left="0" w:firstLine="0"/>
              <w:rPr>
                <w:rFonts w:ascii="Times New Roman" w:hAnsi="Times New Roman"/>
                <w:bCs/>
                <w:sz w:val="28"/>
                <w:szCs w:val="28"/>
              </w:rPr>
            </w:pPr>
          </w:p>
        </w:tc>
        <w:tc>
          <w:tcPr>
            <w:tcW w:w="8398" w:type="dxa"/>
            <w:tcBorders>
              <w:left w:val="single" w:sz="4" w:space="0" w:color="auto"/>
            </w:tcBorders>
          </w:tcPr>
          <w:p w:rsidR="00E52BDF" w:rsidRPr="003E7517" w:rsidRDefault="00E52BDF" w:rsidP="009C405E">
            <w:pPr>
              <w:autoSpaceDE w:val="0"/>
              <w:autoSpaceDN w:val="0"/>
              <w:adjustRightInd w:val="0"/>
              <w:spacing w:after="0" w:line="240" w:lineRule="auto"/>
              <w:jc w:val="both"/>
              <w:rPr>
                <w:rFonts w:ascii="Times New Roman" w:hAnsi="Times New Roman"/>
                <w:sz w:val="28"/>
                <w:szCs w:val="28"/>
              </w:rPr>
            </w:pPr>
            <w:r w:rsidRPr="003E7517">
              <w:rPr>
                <w:rFonts w:ascii="Times New Roman" w:hAnsi="Times New Roman"/>
                <w:sz w:val="28"/>
                <w:szCs w:val="28"/>
              </w:rPr>
              <w:t>о направлении (подаче) Обществом уведомления, содержащего сведения о представителе владельцев облигаций;</w:t>
            </w:r>
          </w:p>
        </w:tc>
      </w:tr>
      <w:tr w:rsidR="00E52BDF" w:rsidRPr="00EC5F35" w:rsidTr="009C4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58" w:type="dxa"/>
          </w:tcPr>
          <w:p w:rsidR="00E52BDF" w:rsidRPr="003E7517" w:rsidRDefault="00E52BDF" w:rsidP="00E52BDF">
            <w:pPr>
              <w:numPr>
                <w:ilvl w:val="0"/>
                <w:numId w:val="7"/>
              </w:numPr>
              <w:tabs>
                <w:tab w:val="left" w:pos="0"/>
                <w:tab w:val="left" w:pos="567"/>
              </w:tabs>
              <w:spacing w:after="0" w:line="240" w:lineRule="auto"/>
              <w:ind w:hanging="900"/>
              <w:rPr>
                <w:rFonts w:ascii="Times New Roman" w:hAnsi="Times New Roman"/>
                <w:sz w:val="28"/>
                <w:szCs w:val="28"/>
              </w:rPr>
            </w:pPr>
            <w:r w:rsidRPr="003E7517">
              <w:rPr>
                <w:rFonts w:ascii="Times New Roman" w:hAnsi="Times New Roman"/>
                <w:sz w:val="28"/>
                <w:szCs w:val="28"/>
              </w:rPr>
              <w:t>.</w:t>
            </w:r>
          </w:p>
        </w:tc>
        <w:tc>
          <w:tcPr>
            <w:tcW w:w="8398" w:type="dxa"/>
          </w:tcPr>
          <w:p w:rsidR="00E52BDF" w:rsidRPr="003E7517" w:rsidRDefault="00E52BDF" w:rsidP="009C405E">
            <w:pPr>
              <w:spacing w:after="0" w:line="240" w:lineRule="auto"/>
              <w:jc w:val="both"/>
              <w:rPr>
                <w:rFonts w:ascii="Times New Roman" w:hAnsi="Times New Roman"/>
                <w:sz w:val="28"/>
                <w:szCs w:val="28"/>
              </w:rPr>
            </w:pPr>
            <w:r w:rsidRPr="003E7517">
              <w:rPr>
                <w:rFonts w:ascii="Times New Roman" w:hAnsi="Times New Roman"/>
                <w:sz w:val="28"/>
                <w:szCs w:val="28"/>
              </w:rPr>
              <w:t>о принятии судом, арбитражным судом, органом исполнительной власти, осуществляющим исполнительное производство, обеспечительных мер в отношении денежных средств или иного имущества, принадлежащего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если в отношении лица, предоставившего такое обеспечение, и (или) облигаций, по которым оно предоставлено,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предшествующего принятию обеспечительных мер;</w:t>
            </w:r>
          </w:p>
        </w:tc>
      </w:tr>
      <w:tr w:rsidR="00E52BDF" w:rsidRPr="00EC5F35" w:rsidTr="009C4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5"/>
        </w:trPr>
        <w:tc>
          <w:tcPr>
            <w:tcW w:w="958" w:type="dxa"/>
          </w:tcPr>
          <w:p w:rsidR="00E52BDF" w:rsidRPr="003E7517" w:rsidRDefault="00E52BDF" w:rsidP="00E52BDF">
            <w:pPr>
              <w:numPr>
                <w:ilvl w:val="0"/>
                <w:numId w:val="7"/>
              </w:numPr>
              <w:tabs>
                <w:tab w:val="left" w:pos="0"/>
                <w:tab w:val="left" w:pos="567"/>
              </w:tabs>
              <w:spacing w:after="0" w:line="240" w:lineRule="auto"/>
              <w:ind w:left="0" w:firstLine="0"/>
              <w:rPr>
                <w:rFonts w:ascii="Times New Roman" w:hAnsi="Times New Roman"/>
                <w:sz w:val="28"/>
                <w:szCs w:val="28"/>
              </w:rPr>
            </w:pPr>
          </w:p>
        </w:tc>
        <w:tc>
          <w:tcPr>
            <w:tcW w:w="8398" w:type="dxa"/>
          </w:tcPr>
          <w:p w:rsidR="00E52BDF" w:rsidRPr="003E7517" w:rsidRDefault="00E52BDF" w:rsidP="009C405E">
            <w:pPr>
              <w:spacing w:after="0" w:line="240" w:lineRule="auto"/>
              <w:jc w:val="both"/>
              <w:rPr>
                <w:rFonts w:ascii="Times New Roman" w:hAnsi="Times New Roman"/>
                <w:sz w:val="28"/>
                <w:szCs w:val="28"/>
              </w:rPr>
            </w:pPr>
            <w:r w:rsidRPr="003E7517">
              <w:rPr>
                <w:rFonts w:ascii="Times New Roman" w:hAnsi="Times New Roman"/>
                <w:sz w:val="28"/>
                <w:szCs w:val="28"/>
              </w:rPr>
              <w:t xml:space="preserve">о возбуждении уголовного дела (поступившая Обществу от органов предварительного следствия или органов дознания) в отношении члена Совета директоров Общества, единоличного исполнительного органа Общества, контролирующей его организации, подконтрольной Обществу организации, имеющей для него существенное значение, либо лица, предоставившего обеспечение по облигациям Общества. </w:t>
            </w:r>
          </w:p>
        </w:tc>
      </w:tr>
    </w:tbl>
    <w:p w:rsidR="00E52BDF" w:rsidRDefault="00E52BDF" w:rsidP="00E52BDF">
      <w:pPr>
        <w:tabs>
          <w:tab w:val="left" w:pos="993"/>
        </w:tabs>
        <w:spacing w:after="0" w:line="240" w:lineRule="auto"/>
        <w:ind w:firstLine="709"/>
        <w:jc w:val="both"/>
        <w:rPr>
          <w:rFonts w:ascii="Times New Roman" w:hAnsi="Times New Roman"/>
          <w:sz w:val="28"/>
          <w:szCs w:val="28"/>
        </w:rPr>
      </w:pPr>
    </w:p>
    <w:p w:rsidR="00E52BDF" w:rsidRPr="00EC5F35" w:rsidRDefault="00E52BDF" w:rsidP="00E52BDF">
      <w:pPr>
        <w:tabs>
          <w:tab w:val="left" w:pos="993"/>
        </w:tabs>
        <w:spacing w:after="0" w:line="240" w:lineRule="auto"/>
        <w:ind w:firstLine="709"/>
        <w:jc w:val="both"/>
        <w:rPr>
          <w:rFonts w:ascii="Times New Roman" w:hAnsi="Times New Roman"/>
          <w:sz w:val="28"/>
          <w:szCs w:val="28"/>
        </w:rPr>
      </w:pPr>
      <w:r w:rsidRPr="00EC5F35">
        <w:rPr>
          <w:rFonts w:ascii="Times New Roman" w:hAnsi="Times New Roman"/>
          <w:sz w:val="28"/>
          <w:szCs w:val="28"/>
        </w:rPr>
        <w:t xml:space="preserve">Информация о размещаемых Обществом эмиссионных ценных бумагах, предусмотренная пунктами 13 – 16, 50, 51, 56, 57 настоящего Перечня, относится к инсайдерской информации Общества в случае, если: </w:t>
      </w:r>
    </w:p>
    <w:p w:rsidR="00E52BDF" w:rsidRPr="00EC5F35" w:rsidRDefault="00E52BDF" w:rsidP="00E52BDF">
      <w:pPr>
        <w:numPr>
          <w:ilvl w:val="1"/>
          <w:numId w:val="3"/>
        </w:numPr>
        <w:tabs>
          <w:tab w:val="left" w:pos="993"/>
        </w:tabs>
        <w:spacing w:after="0" w:line="240" w:lineRule="auto"/>
        <w:ind w:left="0" w:firstLine="709"/>
        <w:jc w:val="both"/>
        <w:rPr>
          <w:rFonts w:ascii="Times New Roman" w:hAnsi="Times New Roman"/>
          <w:sz w:val="28"/>
          <w:szCs w:val="28"/>
        </w:rPr>
      </w:pPr>
      <w:r w:rsidRPr="00EC5F35">
        <w:rPr>
          <w:rFonts w:ascii="Times New Roman" w:hAnsi="Times New Roman"/>
          <w:sz w:val="28"/>
          <w:szCs w:val="28"/>
        </w:rPr>
        <w:t xml:space="preserve">размещение эмиссионных ценных бумаг Общества осуществляется на торгах; </w:t>
      </w:r>
    </w:p>
    <w:p w:rsidR="00E52BDF" w:rsidRPr="00EC5F35" w:rsidRDefault="00E52BDF" w:rsidP="00E52BDF">
      <w:pPr>
        <w:numPr>
          <w:ilvl w:val="1"/>
          <w:numId w:val="3"/>
        </w:numPr>
        <w:tabs>
          <w:tab w:val="left" w:pos="993"/>
        </w:tabs>
        <w:spacing w:after="0" w:line="240" w:lineRule="auto"/>
        <w:ind w:left="0" w:firstLine="709"/>
        <w:jc w:val="both"/>
        <w:rPr>
          <w:rFonts w:ascii="Times New Roman" w:hAnsi="Times New Roman"/>
          <w:sz w:val="28"/>
          <w:szCs w:val="28"/>
        </w:rPr>
      </w:pPr>
      <w:r w:rsidRPr="00EC5F35">
        <w:rPr>
          <w:rFonts w:ascii="Times New Roman" w:hAnsi="Times New Roman"/>
          <w:sz w:val="28"/>
          <w:szCs w:val="28"/>
        </w:rPr>
        <w:t xml:space="preserve">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 </w:t>
      </w:r>
    </w:p>
    <w:p w:rsidR="00E52BDF" w:rsidRPr="00EC5F35" w:rsidRDefault="00E52BDF" w:rsidP="00E52BDF">
      <w:pPr>
        <w:tabs>
          <w:tab w:val="left" w:pos="993"/>
        </w:tabs>
        <w:spacing w:after="0" w:line="240" w:lineRule="auto"/>
        <w:ind w:firstLine="709"/>
        <w:jc w:val="both"/>
        <w:rPr>
          <w:rFonts w:ascii="Times New Roman" w:hAnsi="Times New Roman"/>
          <w:sz w:val="28"/>
          <w:szCs w:val="28"/>
        </w:rPr>
      </w:pPr>
      <w:r w:rsidRPr="00EC5F35">
        <w:rPr>
          <w:rFonts w:ascii="Times New Roman" w:hAnsi="Times New Roman"/>
          <w:sz w:val="28"/>
          <w:szCs w:val="28"/>
        </w:rPr>
        <w:t xml:space="preserve">Информация о размещенных (находящихся в обращении) эмиссионных ценных бумагах Общества, предусмотренная пунктами 12, 18, 19, 23, 37, 41, 56, 57 настоящего Перечня, относится к инсайдерской информации Общества в случае, если указанные эмиссионные ценные бумаги допущены </w:t>
      </w:r>
      <w:r w:rsidRPr="00EC5F35">
        <w:rPr>
          <w:rFonts w:ascii="Times New Roman" w:hAnsi="Times New Roman"/>
          <w:sz w:val="28"/>
          <w:szCs w:val="28"/>
        </w:rPr>
        <w:lastRenderedPageBreak/>
        <w:t>к</w:t>
      </w:r>
      <w:r>
        <w:rPr>
          <w:rFonts w:ascii="Times New Roman" w:hAnsi="Times New Roman"/>
          <w:sz w:val="28"/>
          <w:szCs w:val="28"/>
        </w:rPr>
        <w:t> </w:t>
      </w:r>
      <w:r w:rsidRPr="00EC5F35">
        <w:rPr>
          <w:rFonts w:ascii="Times New Roman" w:hAnsi="Times New Roman"/>
          <w:sz w:val="28"/>
          <w:szCs w:val="28"/>
        </w:rPr>
        <w:t>организованным торгам или в отношении них подана заявка о допуске к</w:t>
      </w:r>
      <w:r>
        <w:rPr>
          <w:rFonts w:ascii="Times New Roman" w:hAnsi="Times New Roman"/>
          <w:sz w:val="28"/>
          <w:szCs w:val="28"/>
        </w:rPr>
        <w:t> </w:t>
      </w:r>
      <w:r w:rsidRPr="00EC5F35">
        <w:rPr>
          <w:rFonts w:ascii="Times New Roman" w:hAnsi="Times New Roman"/>
          <w:sz w:val="28"/>
          <w:szCs w:val="28"/>
        </w:rPr>
        <w:t xml:space="preserve">организованным торгам. </w:t>
      </w:r>
    </w:p>
    <w:p w:rsidR="00E52BDF" w:rsidRPr="00EC5F35" w:rsidRDefault="00E52BDF" w:rsidP="00E52BDF">
      <w:pPr>
        <w:tabs>
          <w:tab w:val="left" w:pos="993"/>
        </w:tabs>
        <w:spacing w:after="0" w:line="240" w:lineRule="auto"/>
        <w:ind w:firstLine="709"/>
        <w:jc w:val="both"/>
        <w:rPr>
          <w:rFonts w:ascii="Times New Roman" w:hAnsi="Times New Roman"/>
          <w:sz w:val="28"/>
          <w:szCs w:val="28"/>
        </w:rPr>
      </w:pPr>
      <w:r w:rsidRPr="00EC5F35">
        <w:rPr>
          <w:rFonts w:ascii="Times New Roman" w:hAnsi="Times New Roman"/>
          <w:sz w:val="28"/>
          <w:szCs w:val="28"/>
        </w:rPr>
        <w:t>Информация о лице, предоставившем обеспечение по облигациям Общества, а также об условиях такого обеспечения, предусмотренная п</w:t>
      </w:r>
      <w:r w:rsidRPr="003E7517">
        <w:rPr>
          <w:rFonts w:ascii="Times New Roman" w:hAnsi="Times New Roman"/>
          <w:sz w:val="28"/>
          <w:szCs w:val="28"/>
        </w:rPr>
        <w:t>унктами 7 – 11, 30, 33, 34, 36, 44, 58, 59</w:t>
      </w:r>
      <w:r w:rsidRPr="00EC5F35">
        <w:rPr>
          <w:rFonts w:ascii="Times New Roman" w:hAnsi="Times New Roman"/>
          <w:sz w:val="28"/>
          <w:szCs w:val="28"/>
        </w:rPr>
        <w:t xml:space="preserve"> настоящего Перечня, относится к</w:t>
      </w:r>
      <w:r>
        <w:rPr>
          <w:rFonts w:ascii="Times New Roman" w:hAnsi="Times New Roman"/>
          <w:sz w:val="28"/>
          <w:szCs w:val="28"/>
        </w:rPr>
        <w:t> </w:t>
      </w:r>
      <w:r w:rsidRPr="00EC5F35">
        <w:rPr>
          <w:rFonts w:ascii="Times New Roman" w:hAnsi="Times New Roman"/>
          <w:sz w:val="28"/>
          <w:szCs w:val="28"/>
        </w:rPr>
        <w:t>инсайдерской информации Общества в случае, если указанные облигации допущены к организованным торгам или в отношении них подана заявка о</w:t>
      </w:r>
      <w:r>
        <w:rPr>
          <w:rFonts w:ascii="Times New Roman" w:hAnsi="Times New Roman"/>
          <w:sz w:val="28"/>
          <w:szCs w:val="28"/>
        </w:rPr>
        <w:t> </w:t>
      </w:r>
      <w:r w:rsidRPr="00EC5F35">
        <w:rPr>
          <w:rFonts w:ascii="Times New Roman" w:hAnsi="Times New Roman"/>
          <w:sz w:val="28"/>
          <w:szCs w:val="28"/>
        </w:rPr>
        <w:t xml:space="preserve">допуске к организованным торгам. </w:t>
      </w:r>
    </w:p>
    <w:p w:rsidR="00E52BDF" w:rsidRDefault="00E52BDF" w:rsidP="00E52BDF">
      <w:pPr>
        <w:spacing w:after="0" w:line="240" w:lineRule="auto"/>
        <w:ind w:firstLine="709"/>
        <w:jc w:val="both"/>
        <w:rPr>
          <w:rFonts w:ascii="Times New Roman" w:hAnsi="Times New Roman"/>
          <w:sz w:val="28"/>
          <w:szCs w:val="28"/>
        </w:rPr>
      </w:pPr>
      <w:r w:rsidRPr="00EC5F35">
        <w:rPr>
          <w:rFonts w:ascii="Times New Roman" w:hAnsi="Times New Roman"/>
          <w:sz w:val="28"/>
          <w:szCs w:val="28"/>
        </w:rPr>
        <w:t xml:space="preserve">Информация о лице, предоставившем обеспечение по облигациям Общества, предусмотренная подпунктами </w:t>
      </w:r>
      <w:r w:rsidRPr="003E7517">
        <w:rPr>
          <w:rFonts w:ascii="Times New Roman" w:hAnsi="Times New Roman"/>
          <w:sz w:val="28"/>
          <w:szCs w:val="28"/>
        </w:rPr>
        <w:t>7 – 11, 30, 34, 59</w:t>
      </w:r>
      <w:r w:rsidRPr="00EC5F35">
        <w:rPr>
          <w:rFonts w:ascii="Times New Roman" w:hAnsi="Times New Roman"/>
          <w:sz w:val="28"/>
          <w:szCs w:val="28"/>
        </w:rPr>
        <w:t xml:space="preserve"> настоящего Перечня, не относится к инсайдерской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Общества.</w:t>
      </w:r>
    </w:p>
    <w:p w:rsidR="00DB0656" w:rsidRPr="00E52BDF" w:rsidRDefault="00DB0656">
      <w:pPr>
        <w:rPr>
          <w:rFonts w:ascii="Times New Roman" w:hAnsi="Times New Roman"/>
          <w:sz w:val="28"/>
          <w:szCs w:val="28"/>
        </w:rPr>
      </w:pPr>
      <w:bookmarkStart w:id="0" w:name="_GoBack"/>
      <w:bookmarkEnd w:id="0"/>
    </w:p>
    <w:sectPr w:rsidR="00DB0656" w:rsidRPr="00E52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1BAE"/>
    <w:multiLevelType w:val="multilevel"/>
    <w:tmpl w:val="6F70A1DE"/>
    <w:lvl w:ilvl="0">
      <w:start w:val="58"/>
      <w:numFmt w:val="decimal"/>
      <w:lvlText w:val="%1."/>
      <w:lvlJc w:val="left"/>
      <w:pPr>
        <w:ind w:left="90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15:restartNumberingAfterBreak="0">
    <w:nsid w:val="1EFE33B1"/>
    <w:multiLevelType w:val="multilevel"/>
    <w:tmpl w:val="61B4AE32"/>
    <w:styleLink w:val="1"/>
    <w:lvl w:ilvl="0">
      <w:start w:val="2"/>
      <w:numFmt w:val="decimal"/>
      <w:lvlText w:val="%1."/>
      <w:lvlJc w:val="left"/>
      <w:pPr>
        <w:ind w:left="900"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31565ED5"/>
    <w:multiLevelType w:val="multilevel"/>
    <w:tmpl w:val="1ACC5C2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0C60A63"/>
    <w:multiLevelType w:val="multilevel"/>
    <w:tmpl w:val="7D7A16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2F33B0"/>
    <w:multiLevelType w:val="hybridMultilevel"/>
    <w:tmpl w:val="28D868D8"/>
    <w:lvl w:ilvl="0" w:tplc="8D5CA168">
      <w:start w:val="4"/>
      <w:numFmt w:val="decimal"/>
      <w:lvlText w:val="%1."/>
      <w:lvlJc w:val="left"/>
      <w:pPr>
        <w:ind w:left="720" w:hanging="360"/>
      </w:pPr>
      <w:rPr>
        <w:rFonts w:hint="default"/>
      </w:rPr>
    </w:lvl>
    <w:lvl w:ilvl="1" w:tplc="86BA32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818EB"/>
    <w:multiLevelType w:val="multilevel"/>
    <w:tmpl w:val="7DB60E52"/>
    <w:lvl w:ilvl="0">
      <w:start w:val="5"/>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15:restartNumberingAfterBreak="0">
    <w:nsid w:val="6A2613B9"/>
    <w:multiLevelType w:val="multilevel"/>
    <w:tmpl w:val="61B4AE32"/>
    <w:numStyleLink w:val="1"/>
  </w:abstractNum>
  <w:num w:numId="1">
    <w:abstractNumId w:val="6"/>
    <w:lvlOverride w:ilvl="0">
      <w:lvl w:ilvl="0">
        <w:start w:val="1"/>
        <w:numFmt w:val="decimal"/>
        <w:lvlText w:val="%1."/>
        <w:lvlJc w:val="left"/>
        <w:pPr>
          <w:ind w:left="900" w:hanging="360"/>
        </w:pPr>
        <w:rPr>
          <w:rFonts w:cs="Times New Roman" w:hint="default"/>
        </w:rPr>
      </w:lvl>
    </w:lvlOverride>
    <w:lvlOverride w:ilvl="1">
      <w:lvl w:ilvl="1">
        <w:start w:val="1"/>
        <w:numFmt w:val="decimal"/>
        <w:isLgl/>
        <w:lvlText w:val="%1.%2."/>
        <w:lvlJc w:val="left"/>
        <w:pPr>
          <w:ind w:left="1146" w:hanging="720"/>
        </w:pPr>
        <w:rPr>
          <w:rFonts w:cs="Times New Roman" w:hint="default"/>
        </w:rPr>
      </w:lvl>
    </w:lvlOverride>
    <w:lvlOverride w:ilvl="2">
      <w:lvl w:ilvl="2">
        <w:start w:val="1"/>
        <w:numFmt w:val="decimal"/>
        <w:isLgl/>
        <w:lvlText w:val="%1.%2.%3."/>
        <w:lvlJc w:val="left"/>
        <w:pPr>
          <w:ind w:left="1260" w:hanging="720"/>
        </w:pPr>
        <w:rPr>
          <w:rFonts w:cs="Times New Roman" w:hint="default"/>
        </w:rPr>
      </w:lvl>
    </w:lvlOverride>
    <w:lvlOverride w:ilvl="3">
      <w:lvl w:ilvl="3">
        <w:start w:val="1"/>
        <w:numFmt w:val="decimal"/>
        <w:isLgl/>
        <w:lvlText w:val="%1.%2.%3.%4."/>
        <w:lvlJc w:val="left"/>
        <w:pPr>
          <w:ind w:left="1620" w:hanging="1080"/>
        </w:pPr>
        <w:rPr>
          <w:rFonts w:cs="Times New Roman" w:hint="default"/>
        </w:rPr>
      </w:lvl>
    </w:lvlOverride>
    <w:lvlOverride w:ilvl="4">
      <w:lvl w:ilvl="4">
        <w:start w:val="1"/>
        <w:numFmt w:val="decimal"/>
        <w:isLgl/>
        <w:lvlText w:val="%1.%2.%3.%4.%5."/>
        <w:lvlJc w:val="left"/>
        <w:pPr>
          <w:ind w:left="1620" w:hanging="1080"/>
        </w:pPr>
        <w:rPr>
          <w:rFonts w:cs="Times New Roman" w:hint="default"/>
        </w:rPr>
      </w:lvl>
    </w:lvlOverride>
    <w:lvlOverride w:ilvl="5">
      <w:lvl w:ilvl="5">
        <w:start w:val="1"/>
        <w:numFmt w:val="decimal"/>
        <w:isLgl/>
        <w:lvlText w:val="%1.%2.%3.%4.%5.%6."/>
        <w:lvlJc w:val="left"/>
        <w:pPr>
          <w:ind w:left="1980" w:hanging="1440"/>
        </w:pPr>
        <w:rPr>
          <w:rFonts w:cs="Times New Roman" w:hint="default"/>
        </w:rPr>
      </w:lvl>
    </w:lvlOverride>
    <w:lvlOverride w:ilvl="6">
      <w:lvl w:ilvl="6">
        <w:start w:val="1"/>
        <w:numFmt w:val="decimal"/>
        <w:isLgl/>
        <w:lvlText w:val="%1.%2.%3.%4.%5.%6.%7."/>
        <w:lvlJc w:val="left"/>
        <w:pPr>
          <w:ind w:left="2340" w:hanging="1800"/>
        </w:pPr>
        <w:rPr>
          <w:rFonts w:cs="Times New Roman" w:hint="default"/>
        </w:rPr>
      </w:lvl>
    </w:lvlOverride>
    <w:lvlOverride w:ilvl="7">
      <w:lvl w:ilvl="7">
        <w:start w:val="1"/>
        <w:numFmt w:val="decimal"/>
        <w:isLgl/>
        <w:lvlText w:val="%1.%2.%3.%4.%5.%6.%7.%8."/>
        <w:lvlJc w:val="left"/>
        <w:pPr>
          <w:ind w:left="2340" w:hanging="1800"/>
        </w:pPr>
        <w:rPr>
          <w:rFonts w:cs="Times New Roman" w:hint="default"/>
        </w:rPr>
      </w:lvl>
    </w:lvlOverride>
    <w:lvlOverride w:ilvl="8">
      <w:lvl w:ilvl="8">
        <w:start w:val="1"/>
        <w:numFmt w:val="decimal"/>
        <w:isLgl/>
        <w:lvlText w:val="%1.%2.%3.%4.%5.%6.%7.%8.%9."/>
        <w:lvlJc w:val="left"/>
        <w:pPr>
          <w:ind w:left="2700" w:hanging="2160"/>
        </w:pPr>
        <w:rPr>
          <w:rFonts w:cs="Times New Roman" w:hint="default"/>
        </w:rPr>
      </w:lvl>
    </w:lvlOverride>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09"/>
    <w:rsid w:val="00C55909"/>
    <w:rsid w:val="00DB0656"/>
    <w:rsid w:val="00E5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7C627-A7C0-4E1D-9989-2A33DE6D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D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E52BDF"/>
    <w:pPr>
      <w:numPr>
        <w:numId w:val="2"/>
      </w:numPr>
    </w:pPr>
  </w:style>
  <w:style w:type="paragraph" w:styleId="a3">
    <w:name w:val="List Paragraph"/>
    <w:basedOn w:val="a"/>
    <w:uiPriority w:val="34"/>
    <w:qFormat/>
    <w:rsid w:val="00E52BDF"/>
    <w:pPr>
      <w:ind w:left="708"/>
    </w:pPr>
  </w:style>
  <w:style w:type="paragraph" w:customStyle="1" w:styleId="ConsPlusNormal">
    <w:name w:val="ConsPlusNormal"/>
    <w:rsid w:val="00E52BD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3695</Words>
  <Characters>21063</Characters>
  <Application>Microsoft Office Word</Application>
  <DocSecurity>0</DocSecurity>
  <Lines>175</Lines>
  <Paragraphs>49</Paragraphs>
  <ScaleCrop>false</ScaleCrop>
  <Company>ПАО "Ленэнерго"</Company>
  <LinksUpToDate>false</LinksUpToDate>
  <CharactersWithSpaces>24709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Залисковая Наталья Николаевна</dc:creator>
  <cp:keywords/>
  <dc:description/>
  <cp:lastModifiedBy>Залисковая Наталья Николаевна</cp:lastModifiedBy>
  <cp:revision>2</cp:revision>
  <dcterms:created xsi:type="dcterms:W3CDTF">2018-06-15T07:59:00Z</dcterms:created>
  <dcterms:modified xsi:type="dcterms:W3CDTF">2018-06-15T08:00:00Z</dcterms:modified>
</cp:coreProperties>
</file>